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11" w:rsidRPr="0054497D" w:rsidRDefault="00AB3111" w:rsidP="00AB3111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к приказу Министра транспорта</w:t>
      </w:r>
      <w:r>
        <w:rPr>
          <w:color w:val="000000"/>
          <w:sz w:val="20"/>
        </w:rPr>
        <w:t>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и коммуникаций Республики Казахстан</w:t>
      </w:r>
      <w:r>
        <w:rPr>
          <w:color w:val="000000"/>
          <w:sz w:val="20"/>
        </w:rPr>
        <w:t>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от 17 сентября 2012 года № 609</w:t>
      </w:r>
      <w:r>
        <w:rPr>
          <w:color w:val="000000"/>
          <w:sz w:val="20"/>
        </w:rPr>
        <w:t>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rPr>
          <w:lang w:val="ru-RU"/>
        </w:rPr>
      </w:pPr>
      <w:r w:rsidRPr="0054497D">
        <w:rPr>
          <w:b/>
          <w:color w:val="000000"/>
          <w:lang w:val="ru-RU"/>
        </w:rPr>
        <w:t xml:space="preserve">   Проверочный лист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по проверке интернет-ресурсов центральных государственных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органов и местных исполнительных органов областей,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городов Астана и Алматы</w:t>
      </w:r>
    </w:p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Орган, назначивший проверку 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Акт о назначении проверки</w:t>
      </w:r>
      <w:proofErr w:type="gramStart"/>
      <w:r w:rsidRPr="0054497D">
        <w:rPr>
          <w:color w:val="000000"/>
          <w:sz w:val="20"/>
          <w:lang w:val="ru-RU"/>
        </w:rPr>
        <w:t xml:space="preserve"> __________________________________________</w:t>
      </w:r>
      <w:r w:rsidRPr="0054497D">
        <w:rPr>
          <w:lang w:val="ru-RU"/>
        </w:rPr>
        <w:br/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( №, </w:t>
      </w:r>
      <w:proofErr w:type="gramEnd"/>
      <w:r w:rsidRPr="0054497D">
        <w:rPr>
          <w:color w:val="000000"/>
          <w:sz w:val="20"/>
          <w:lang w:val="ru-RU"/>
        </w:rPr>
        <w:t>дата, сведения о регистрации в органе по правовой статистике)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Наименование субъекта проверки: 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Срок проведения </w:t>
      </w:r>
      <w:proofErr w:type="gramStart"/>
      <w:r w:rsidRPr="0054497D">
        <w:rPr>
          <w:color w:val="000000"/>
          <w:sz w:val="20"/>
          <w:lang w:val="ru-RU"/>
        </w:rPr>
        <w:t>проверки</w:t>
      </w:r>
      <w:proofErr w:type="gramEnd"/>
      <w:r w:rsidRPr="0054497D">
        <w:rPr>
          <w:color w:val="000000"/>
          <w:sz w:val="20"/>
          <w:lang w:val="ru-RU"/>
        </w:rPr>
        <w:t xml:space="preserve"> 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Проверяемый период 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Регистрационный номер налогоплательщика (индивидуальный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идентификационный номер/Бизнес-идентификационный номер)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____________________________________________________________________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Адрес: город _____________________, улица___________________________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Телефон: _________________________, факс: 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 электронной почты: _________________@_________________________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 интернет-ресурса _____________________________________________</w:t>
      </w:r>
    </w:p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85"/>
        <w:gridCol w:w="6917"/>
        <w:gridCol w:w="763"/>
        <w:gridCol w:w="991"/>
      </w:tblGrid>
      <w:tr w:rsidR="00AB3111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jc w:val="center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Требования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на Интернет-ресурсе: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</w:t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Государственные символы Республики Казахстан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Государственный Флаг, Государственный Герб,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Государственный Гимн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4497D">
              <w:rPr>
                <w:color w:val="000000"/>
                <w:sz w:val="20"/>
                <w:lang w:val="ru-RU"/>
              </w:rPr>
              <w:t>Общая информация о государственном органе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почтовый адрес;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адрес электронной почты;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телефоны справочных служб;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положение госоргана (Описание полномочий);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перечень законов, нормативных актов,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определяющих полномочия, задачи и функции;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структура местных исполнительных органов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указанием Ф.И.О руководителей, номеров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телефонов и адресов электронной почты;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перечень подведомственных и территориальных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подразделений с указанием Ф.И.О. руководителей,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номеров телефонов и адресов электронной почты</w:t>
            </w:r>
            <w:proofErr w:type="gramEnd"/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Имидж государственной службы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ежегодные Послания Главы государства;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планы мероприятий по реализации ежегодных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посланий Главы государства;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результаты реализации Плана мероприятий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реализации ежегодного послания Главы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государства (в пределах компетенции);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lastRenderedPageBreak/>
              <w:t>персональный блог (веб-дневник) руководителей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местных исполнительных органов;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раздел «Имидж государственной службы»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(Информация о формировании и укреплении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позитивного имиджа государственной службы, 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кодексе чести государственных служащих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Республики Казахстан, о правилах служебной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этики государственных служащих);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информация о принимаемых мерах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противодействию коррупции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Нормотворческая деятельность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нормативные правовые акты, изданные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государственным органом;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тексты проектов нормативных правовых актов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4497D">
              <w:rPr>
                <w:color w:val="000000"/>
                <w:sz w:val="20"/>
                <w:lang w:val="ru-RU"/>
              </w:rPr>
              <w:t>Информация о текущей деятельности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государственного органа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планы и показатели деятельности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государственного органа (Программа развития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территории);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отчеты об исполнении Программы развития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территории;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государственные программы (отраслевые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программы);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отчеты об исполнении государственных программ,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отраслевых программ (в пределах компетенции);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итоги социально-экономического развития региона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 отраслям (статистические данные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показатели, характеризующие состояние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динамику развития региона по отраслям);</w:t>
            </w:r>
            <w:proofErr w:type="gramEnd"/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отчеты Акима о деятельности местных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исполнительных органов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Исполнение бюджета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Информация о бюджетных средствах, выделенных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социально значимые проекты (школы, больницы,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детские сады и т.д.) и их освоение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Проведение конкурсов, тендеров сведения об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открытых конкурсах, аукционах, тендерах,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экспертизах и других мероприятиях и условия их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проведения;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порядок участия в них юридических и физических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лиц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Государственная поддержка предпринимательской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деятельности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справочные материалы по вопросам организации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развития собственного дела, кредитования,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субсидирования, налогообложения, с указанием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адресов и контактных телефонов компетентных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органов;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защита предпринимательства;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информация о субсидировании предприятий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агропромышленного комплекса; кредитовании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бизнеса и сельского населения; лизинг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сельскохозяйственной техники и оборудования,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lastRenderedPageBreak/>
              <w:t>указанием контактных данных уполномоченных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органов;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информация о порядке закупа, производства,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переработки и реализации сельскохозяйственной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продукции с указанием контактных данных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специализированных организаций;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порядок осуществления государственным органом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разрешительных действий (лицензирование,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аккредитация, регистрация и другие)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размещением форм заявительных документов,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принимаемых органом к рассмотрению 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соответствии с законами и иными нормативными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правовыми актами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Оказание государственных услуг, в том числе 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электронном формате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информация о государственных услугах (перечень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услуг для бизнеса; перечень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услуг для граждан; перечень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услуг, оказываемых через центры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обслуживания населения (при наличии);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стандартов и регламентов оказания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услуг;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интерактивных электронных услуг,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осуществляемых посредством интеграции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«электронным правительством» Республики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Казахстан, с размещением инструкции для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пользователей электронных государственных услуг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Кадровое обеспечение государственных органов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порядок поступления граждан на государственную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 службу (описание процедур, нормативная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правовая база);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сведения о вакантных должностях государственной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службы;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квалификационные требования к кандидатам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замещение вакантных должностей государственной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службы;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номера телефонов, адреса электронной почты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Ф.И.О. лиц, уполномоченных консультировать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вопросам замещения вакантных должностей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Работа с населением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порядок приема граждан и рассмотрения их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обращений в государственный орган (нормативная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правовая база);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график приема граждан;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контактные телефоны, посредством которых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гражданам предоставляется возможность получить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устную информацию от уполномоченных лиц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вопросам приема граждан и рассмотрения их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обращений;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обзор обращений граждан и организаций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результаты их рассмотрения;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функции обратной связи («Вопрос-ответ»,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он-лайн консультации, архив вопросов и ответов,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lastRenderedPageBreak/>
              <w:t>интерактивные опросы)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Информационная поддержка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актуальная лента новостей (с созданием архива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новостей);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перечни информационных систем общего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пользования, банков данных, реестров,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регистров;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перечень информационных ресурсов структурных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подразделений, подведомственных организаций;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полезные ссылки (правительственные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интернет-ресурсы, веб-портал «электронного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правительства, база данных законодательства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пр.);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наличие </w:t>
            </w:r>
            <w:r>
              <w:rPr>
                <w:color w:val="000000"/>
                <w:sz w:val="20"/>
              </w:rPr>
              <w:t>RSS</w:t>
            </w:r>
            <w:r w:rsidRPr="0054497D">
              <w:rPr>
                <w:color w:val="000000"/>
                <w:sz w:val="20"/>
                <w:lang w:val="ru-RU"/>
              </w:rPr>
              <w:t>-канала для передачи анонсов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новостей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Доступность информации для людей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ограниченными возможностями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альтернативного текста для нетекстового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 медиа веб-контента, несущего смысловую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нагрузку;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механизма остановки, паузы, или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выключения звука для веб-контента,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проигрывающегося автоматически более трех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секунд;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механизма по остановке автоматически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движущегося, мигающего, прокручивающегося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веб-контента, содержащего вспышки более чем три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раза в секунду;</w:t>
            </w:r>
            <w:r w:rsidRPr="0054497D">
              <w:rPr>
                <w:lang w:val="ru-RU"/>
              </w:rPr>
              <w:br/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наличие возможности управления всей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функциональностью веб-контента с помощью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клавиатуры с одновременным выделением активного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компонента интерфейса;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навигационных цепочек, содержащих путь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следования по разделам от главной страницы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интернет-ресурса до текущей открытой страницы;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на каждой веб-странице ссылки перехода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 основному содержанию веб-страницы; при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размещении на веб-странице интернет-ресурса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большого объема текстовой информации наличие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ссылки «Наверх», позволяющая пользователю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вернуться к началу веб-страницы;</w:t>
            </w:r>
            <w:proofErr w:type="gramEnd"/>
            <w:r w:rsidRPr="0054497D">
              <w:rPr>
                <w:lang w:val="ru-RU"/>
              </w:rPr>
              <w:br/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наличие текстового сообщения об ошибке,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выявленной при вводе информации пользователем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(при заполнении форм);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соблюдение уровня контрастности текста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отношению к фону не менее 4,5:1;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возможность изменения размера шрифта до 200 %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без потери веб-контента или функциональности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интернет-ресурса (исключая титры и изображения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текста), не прибегая к горизонтальной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прокрутке;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расширенной карты сайта;</w:t>
            </w:r>
            <w:proofErr w:type="gramEnd"/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наличие поискового механизма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AB3111" w:rsidRPr="0054497D" w:rsidTr="00533F60">
        <w:trPr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Default="00AB3111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4497D">
              <w:rPr>
                <w:color w:val="000000"/>
                <w:sz w:val="20"/>
                <w:lang w:val="ru-RU"/>
              </w:rPr>
              <w:t>Справочная информация о регионе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общие сведения: карта региона, история,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географическое положение,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природно-климатические условия, экологическое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состояние, чрезвычайные ситуации, природные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ресурсы, специализация экономики региона;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промышленность, с указанием перечня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контактных данных промышленных предприятий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региона;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сельское хозяйство и ветеринария, с указанием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перечня и контактных данных специализированных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предприятий региона;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инфраструктура (транспорт, связь, жилищное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строительство и ЖКХ);</w:t>
            </w:r>
            <w:proofErr w:type="gramEnd"/>
            <w:r w:rsidRPr="0054497D">
              <w:rPr>
                <w:lang w:val="ru-RU"/>
              </w:rPr>
              <w:br/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здравоохранение (сеть учреждений, медицинское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обслуживание, санитарно-эпидемиологический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надзор);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образование (сеть учреждений, льготы для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сельского населения);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малый и средний бизнес;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культура, религия, спорт и туризм;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миграция населения, с указанием мер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государственной поддержки и контактной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информации уполномоченных органов;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инвестиционные возможности региона</w:t>
            </w:r>
            <w:proofErr w:type="gramEnd"/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B3111" w:rsidRPr="0054497D" w:rsidRDefault="00AB3111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</w:tbl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Должностные лица уполномоченного органа: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 </w:t>
      </w:r>
      <w:r w:rsidRPr="0054497D">
        <w:rPr>
          <w:color w:val="000000"/>
          <w:sz w:val="20"/>
          <w:lang w:val="ru-RU"/>
        </w:rPr>
        <w:t xml:space="preserve"> 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</w:t>
      </w:r>
      <w:r w:rsidRPr="0054497D">
        <w:rPr>
          <w:color w:val="000000"/>
          <w:sz w:val="20"/>
          <w:lang w:val="ru-RU"/>
        </w:rPr>
        <w:t xml:space="preserve"> фамилия имя отчества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</w:t>
      </w:r>
    </w:p>
    <w:p w:rsidR="00AB3111" w:rsidRPr="0054497D" w:rsidRDefault="00AB3111" w:rsidP="00AB3111">
      <w:pPr>
        <w:spacing w:after="0"/>
        <w:rPr>
          <w:lang w:val="ru-RU"/>
        </w:rPr>
      </w:pPr>
    </w:p>
    <w:p w:rsidR="00AB3111" w:rsidRPr="0054497D" w:rsidRDefault="00AB3111" w:rsidP="00AB3111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Проверяемые субъекты: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</w:t>
      </w:r>
    </w:p>
    <w:p w:rsidR="00612532" w:rsidRPr="00AB3111" w:rsidRDefault="00612532">
      <w:pPr>
        <w:rPr>
          <w:lang w:val="ru-RU"/>
        </w:rPr>
      </w:pPr>
    </w:p>
    <w:sectPr w:rsidR="00612532" w:rsidRPr="00AB3111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B3111"/>
    <w:rsid w:val="00223A68"/>
    <w:rsid w:val="00226E70"/>
    <w:rsid w:val="00227506"/>
    <w:rsid w:val="002D6D60"/>
    <w:rsid w:val="00612532"/>
    <w:rsid w:val="00691434"/>
    <w:rsid w:val="00726374"/>
    <w:rsid w:val="0081141C"/>
    <w:rsid w:val="00977A13"/>
    <w:rsid w:val="009D7331"/>
    <w:rsid w:val="00AB3111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1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2014-02-10T14:50:00Z</dcterms:created>
  <dcterms:modified xsi:type="dcterms:W3CDTF">2014-02-10T14:50:00Z</dcterms:modified>
</cp:coreProperties>
</file>