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48" w:rsidRDefault="00045648" w:rsidP="00045648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    </w:t>
      </w:r>
      <w:r>
        <w:br/>
      </w:r>
      <w:proofErr w:type="spellStart"/>
      <w:r>
        <w:rPr>
          <w:color w:val="000000"/>
          <w:sz w:val="20"/>
        </w:rPr>
        <w:t>Мәдениет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br/>
      </w:r>
      <w:r>
        <w:rPr>
          <w:color w:val="000000"/>
          <w:sz w:val="20"/>
        </w:rPr>
        <w:t xml:space="preserve"> 2012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10 </w:t>
      </w:r>
      <w:proofErr w:type="spellStart"/>
      <w:r>
        <w:rPr>
          <w:color w:val="000000"/>
          <w:sz w:val="20"/>
        </w:rPr>
        <w:t>тамыздағы</w:t>
      </w:r>
      <w:proofErr w:type="spellEnd"/>
      <w:r>
        <w:rPr>
          <w:color w:val="000000"/>
          <w:sz w:val="20"/>
        </w:rPr>
        <w:t xml:space="preserve">     </w:t>
      </w:r>
      <w:r>
        <w:br/>
      </w:r>
      <w:r>
        <w:rPr>
          <w:color w:val="000000"/>
          <w:sz w:val="20"/>
        </w:rPr>
        <w:t xml:space="preserve"> № 123 </w:t>
      </w:r>
      <w:proofErr w:type="spellStart"/>
      <w:r>
        <w:rPr>
          <w:color w:val="000000"/>
          <w:sz w:val="20"/>
        </w:rPr>
        <w:t>бұйрығына</w:t>
      </w:r>
      <w:proofErr w:type="spellEnd"/>
      <w:r>
        <w:rPr>
          <w:color w:val="000000"/>
          <w:sz w:val="20"/>
        </w:rPr>
        <w:t xml:space="preserve">         </w:t>
      </w:r>
      <w:r>
        <w:br/>
      </w:r>
      <w:r>
        <w:rPr>
          <w:color w:val="000000"/>
          <w:sz w:val="20"/>
        </w:rPr>
        <w:t xml:space="preserve"> 2-қосымша             </w:t>
      </w:r>
    </w:p>
    <w:p w:rsidR="00045648" w:rsidRDefault="00045648" w:rsidP="00045648">
      <w:pPr>
        <w:spacing w:after="0"/>
      </w:pPr>
    </w:p>
    <w:p w:rsidR="00045648" w:rsidRDefault="00045648" w:rsidP="00045648">
      <w:pPr>
        <w:spacing w:after="0"/>
        <w:jc w:val="right"/>
      </w:pPr>
      <w:proofErr w:type="spellStart"/>
      <w:r>
        <w:rPr>
          <w:color w:val="000000"/>
          <w:sz w:val="20"/>
        </w:rPr>
        <w:t>Нысан</w:t>
      </w:r>
      <w:proofErr w:type="spellEnd"/>
    </w:p>
    <w:p w:rsidR="00045648" w:rsidRDefault="00045648" w:rsidP="00045648">
      <w:pPr>
        <w:spacing w:after="0"/>
      </w:pPr>
    </w:p>
    <w:p w:rsidR="00045648" w:rsidRDefault="00045648" w:rsidP="00045648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br/>
      </w:r>
      <w:proofErr w:type="spellStart"/>
      <w:r>
        <w:rPr>
          <w:b/>
          <w:color w:val="000000"/>
        </w:rPr>
        <w:t>мұрағаттарының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жай-күйін</w:t>
      </w:r>
      <w:proofErr w:type="spellEnd"/>
      <w:r>
        <w:br/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p w:rsidR="00045648" w:rsidRDefault="00045648" w:rsidP="00045648">
      <w:pPr>
        <w:spacing w:after="0"/>
      </w:pPr>
    </w:p>
    <w:p w:rsidR="00045648" w:rsidRDefault="00045648" w:rsidP="00045648">
      <w:pPr>
        <w:spacing w:after="0"/>
      </w:pP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</w:t>
      </w:r>
      <w:proofErr w:type="spellEnd"/>
      <w:r>
        <w:rPr>
          <w:color w:val="000000"/>
          <w:sz w:val="20"/>
        </w:rPr>
        <w:t xml:space="preserve"> 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</w:t>
      </w:r>
      <w:proofErr w:type="spellEnd"/>
      <w:r>
        <w:rPr>
          <w:color w:val="000000"/>
          <w:sz w:val="20"/>
        </w:rPr>
        <w:t xml:space="preserve"> _____________________________________</w:t>
      </w:r>
      <w:r>
        <w:br/>
      </w:r>
      <w:r>
        <w:rPr>
          <w:color w:val="000000"/>
          <w:sz w:val="20"/>
        </w:rPr>
        <w:t xml:space="preserve">                                             (№, 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Бақыланатын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субъектің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СТН, БСН 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Орналасқан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мекен-жайы</w:t>
      </w:r>
      <w:proofErr w:type="spellEnd"/>
      <w:r>
        <w:rPr>
          <w:color w:val="000000"/>
          <w:sz w:val="20"/>
        </w:rPr>
        <w:t xml:space="preserve"> 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045648" w:rsidRDefault="00045648" w:rsidP="00045648">
      <w:pPr>
        <w:spacing w:after="0"/>
      </w:pPr>
    </w:p>
    <w:p w:rsidR="00045648" w:rsidRDefault="00045648" w:rsidP="0004564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1"/>
        <w:gridCol w:w="6593"/>
        <w:gridCol w:w="1085"/>
        <w:gridCol w:w="1077"/>
      </w:tblGrid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Талаптар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Ия</w:t>
            </w:r>
            <w:proofErr w:type="spellEnd"/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Жоқ</w:t>
            </w:r>
            <w:proofErr w:type="spellEnd"/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құрылтайшылық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ереженің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жарғысының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консультативті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кеңесші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Сараптау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мұрағаттың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дирекциясы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археография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қосалқы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Зерттеулердің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Басқаруды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сараптау-тексеру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жоспар-кестесінің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26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№ 1604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сақтауы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Қағидалар</w:t>
            </w:r>
            <w:proofErr w:type="spellEnd"/>
            <w:r>
              <w:rPr>
                <w:color w:val="000000"/>
                <w:sz w:val="20"/>
              </w:rPr>
              <w:t xml:space="preserve">) 45-74-тармақтарына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ыңғайлы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ескі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ылғалды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жылытылмайтын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санитарлық-гигиеналық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келмейтін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температуралық-ылғалдылық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120-тармағының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Стеллаждарды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шкафтарды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ылғалды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тазарту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энтомологиялық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121-125-тармақтарының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жай-күйін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физикалық-химиялық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жай-күйін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фактілері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кітабының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қоймада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іздестіру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Мұрағаттың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төлқұжаты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Мыналардың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мұрағатқа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сақтаудағы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дыбыс-бейнелік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тізімдемесінің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қосымшасында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инвентарлы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төлқұжаты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баяндамасы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парағы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12) </w:t>
            </w:r>
            <w:proofErr w:type="spellStart"/>
            <w:r>
              <w:rPr>
                <w:color w:val="000000"/>
                <w:sz w:val="20"/>
              </w:rPr>
              <w:t>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13)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14)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15) </w:t>
            </w: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16) </w:t>
            </w:r>
            <w:proofErr w:type="spellStart"/>
            <w:r>
              <w:rPr>
                <w:color w:val="000000"/>
                <w:sz w:val="20"/>
              </w:rPr>
              <w:t>істің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17) </w:t>
            </w:r>
            <w:proofErr w:type="spellStart"/>
            <w:r>
              <w:rPr>
                <w:color w:val="000000"/>
                <w:sz w:val="20"/>
              </w:rPr>
              <w:t>құрамына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тізімдемесі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Сараптау-тексеру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қарастырылатын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сараптау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қатынасы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өңдеудің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Мұрағаттардың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кеңес-семинарлардың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Ғылыми-анықтамалық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аппараттың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каталогтар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шолулар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ақпараттық-іздестіру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қолданушылардың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көрмелерде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қызметкерлерімен</w:t>
            </w:r>
            <w:proofErr w:type="spellEnd"/>
            <w:r>
              <w:rPr>
                <w:color w:val="000000"/>
                <w:sz w:val="20"/>
              </w:rPr>
              <w:t xml:space="preserve">).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сипаттағыларды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мазмұнның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шынайылығы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бермеу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  <w:tr w:rsidR="00045648" w:rsidTr="008620C1">
        <w:trPr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9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жоғалту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фактілерінің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5648" w:rsidRDefault="00045648" w:rsidP="008620C1">
            <w:pPr>
              <w:spacing w:after="0"/>
            </w:pPr>
            <w:r>
              <w:br/>
            </w:r>
          </w:p>
        </w:tc>
      </w:tr>
    </w:tbl>
    <w:p w:rsidR="00045648" w:rsidRDefault="00045648" w:rsidP="00045648">
      <w:pPr>
        <w:spacing w:after="0"/>
      </w:pPr>
    </w:p>
    <w:p w:rsidR="00045648" w:rsidRDefault="00045648" w:rsidP="00045648">
      <w:pPr>
        <w:spacing w:after="0"/>
      </w:pPr>
      <w:r>
        <w:rPr>
          <w:color w:val="000000"/>
          <w:sz w:val="20"/>
        </w:rPr>
        <w:lastRenderedPageBreak/>
        <w:t xml:space="preserve">      </w:t>
      </w:r>
      <w:proofErr w:type="spellStart"/>
      <w:r>
        <w:rPr>
          <w:color w:val="000000"/>
          <w:sz w:val="20"/>
        </w:rPr>
        <w:t>Лауазымды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тұлға</w:t>
      </w:r>
      <w:proofErr w:type="spellEnd"/>
      <w:r>
        <w:rPr>
          <w:color w:val="000000"/>
          <w:sz w:val="20"/>
        </w:rPr>
        <w:t>(</w:t>
      </w:r>
      <w:proofErr w:type="spellStart"/>
      <w:proofErr w:type="gramEnd"/>
      <w:r>
        <w:rPr>
          <w:color w:val="000000"/>
          <w:sz w:val="20"/>
        </w:rPr>
        <w:t>лар</w:t>
      </w:r>
      <w:proofErr w:type="spellEnd"/>
      <w:r>
        <w:rPr>
          <w:color w:val="000000"/>
          <w:sz w:val="20"/>
        </w:rPr>
        <w:t>) ______________ ______________ ____________</w:t>
      </w:r>
      <w:r>
        <w:br/>
      </w:r>
      <w:r>
        <w:rPr>
          <w:color w:val="000000"/>
          <w:sz w:val="20"/>
        </w:rPr>
        <w:t>                            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       (Т.А.Ж.)</w:t>
      </w:r>
      <w:r>
        <w:br/>
      </w:r>
      <w:r>
        <w:rPr>
          <w:color w:val="000000"/>
          <w:sz w:val="20"/>
        </w:rPr>
        <w:t>                           ______________ ______________ ____________</w:t>
      </w:r>
      <w:r>
        <w:br/>
      </w:r>
      <w:r>
        <w:rPr>
          <w:color w:val="000000"/>
          <w:sz w:val="20"/>
        </w:rPr>
        <w:t>                            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       (Т.А.Ж.)</w:t>
      </w:r>
    </w:p>
    <w:p w:rsidR="00045648" w:rsidRDefault="00045648" w:rsidP="00045648">
      <w:pPr>
        <w:spacing w:after="0"/>
      </w:pPr>
    </w:p>
    <w:p w:rsidR="00045648" w:rsidRDefault="00045648" w:rsidP="00045648">
      <w:pPr>
        <w:spacing w:after="0"/>
      </w:pP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Бақыланатын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субъектінің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______________________ ________</w:t>
      </w:r>
      <w:r>
        <w:br/>
      </w:r>
      <w:r>
        <w:rPr>
          <w:color w:val="000000"/>
          <w:sz w:val="20"/>
        </w:rPr>
        <w:t xml:space="preserve">                                         (Т.А.Ж. 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4564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648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4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2014-02-04T07:27:00Z</dcterms:created>
  <dcterms:modified xsi:type="dcterms:W3CDTF">2014-02-04T07:27:00Z</dcterms:modified>
</cp:coreProperties>
</file>